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895B"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b/>
          <w:bCs/>
          <w:color w:val="000000"/>
          <w:kern w:val="0"/>
          <w14:ligatures w14:val="none"/>
        </w:rPr>
        <w:t>Rising Consumer Debt Layering Challenges BNPL Risk Models and Market Stability</w:t>
      </w:r>
    </w:p>
    <w:p w14:paraId="13CE486B"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i/>
          <w:iCs/>
          <w:color w:val="000000"/>
          <w:kern w:val="0"/>
          <w14:ligatures w14:val="none"/>
        </w:rPr>
        <w:t>The growing use of multiple concurrent financing options is forcing BNPL providers and institutions to reassess underwriting, transparency, and long-term risk exposure.</w:t>
      </w:r>
    </w:p>
    <w:p w14:paraId="6BBCFAF9"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b/>
          <w:bCs/>
          <w:color w:val="000000"/>
          <w:kern w:val="0"/>
          <w14:ligatures w14:val="none"/>
        </w:rPr>
        <w:t>By Proven Payment Systems Research Desk — April 2026</w:t>
      </w:r>
    </w:p>
    <w:p w14:paraId="4BF514F2"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The continued expansion of Buy Now Pay Later (BNPL) is introducing a more complex borrowing environment, where consumers increasingly manage multiple financing obligations at once. This trend, often referred to as debt layering, is drawing attention from providers, regulators, and financial institutions as they evaluate its implications for credit risk and market sustainability.</w:t>
      </w:r>
    </w:p>
    <w:p w14:paraId="143176BC"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pict w14:anchorId="0B82885D">
          <v:rect id="_x0000_i1035" alt="" style="width:468pt;height:.05pt;mso-width-percent:0;mso-height-percent:0;mso-width-percent:0;mso-height-percent:0" o:hralign="center" o:hrstd="t" o:hr="t" fillcolor="#a0a0a0" stroked="f"/>
        </w:pict>
      </w:r>
    </w:p>
    <w:p w14:paraId="48A4D693"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Market Context</w:t>
      </w:r>
    </w:p>
    <w:p w14:paraId="76C89BCB"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Industry data indicates that BNPL has significantly increased access to short-term financing, particularly for consumers who may not rely heavily on traditional credit products. As more providers enter the market and expand availability, consumers now have access to multiple financing channels simultaneously.</w:t>
      </w:r>
    </w:p>
    <w:p w14:paraId="090DA526"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Research suggests that this growth has outpaced the development of unified tracking systems. Unlike traditional lending, where obligations are often visible through centralized credit reporting, BNPL usage can remain fragmented across platforms. This creates challenges in assessing total exposure at both the individual and system levels.</w:t>
      </w:r>
    </w:p>
    <w:p w14:paraId="6B855395"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pict w14:anchorId="1352EAF6">
          <v:rect id="_x0000_i1034" alt="" style="width:468pt;height:.05pt;mso-width-percent:0;mso-height-percent:0;mso-width-percent:0;mso-height-percent:0" o:hralign="center" o:hrstd="t" o:hr="t" fillcolor="#a0a0a0" stroked="f"/>
        </w:pict>
      </w:r>
    </w:p>
    <w:p w14:paraId="74E45E7B"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Consumer Behavior</w:t>
      </w:r>
    </w:p>
    <w:p w14:paraId="78098F7D"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Consumers are increasingly using BNPL across multiple merchants and providers, often within overlapping timeframes. While each transaction may appear manageable on its own, the cumulative effect can lead to a more complex repayment landscape.</w:t>
      </w:r>
    </w:p>
    <w:p w14:paraId="21D2A386"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Analysts note that many consumers do not have a consolidated view of their outstanding obligations, particularly when using different apps or services. This can result in missed payments, unintentional overextension, or reliance on additional financing to manage existing commitments.</w:t>
      </w:r>
    </w:p>
    <w:p w14:paraId="28D821ED"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At the same time, there are signs of behavioral shifts. As awareness grows, some consumers are becoming more deliberate in how they use BNPL, treating it as a budgeting tool rather than an impulse-driven payment method.</w:t>
      </w:r>
    </w:p>
    <w:p w14:paraId="069A3733" w14:textId="77777777" w:rsidR="00A769E1" w:rsidRPr="00A769E1" w:rsidRDefault="00A769E1" w:rsidP="00A769E1">
      <w:pPr>
        <w:spacing w:after="0" w:line="240" w:lineRule="auto"/>
        <w:rPr>
          <w:rFonts w:ascii="Times New Roman" w:eastAsia="Times New Roman" w:hAnsi="Times New Roman" w:cs="Times New Roman"/>
          <w:kern w:val="0"/>
          <w14:ligatures w14:val="none"/>
        </w:rPr>
      </w:pPr>
      <w:r w:rsidRPr="00A769E1">
        <w:rPr>
          <w:rFonts w:ascii="Times New Roman" w:eastAsia="Times New Roman" w:hAnsi="Times New Roman" w:cs="Times New Roman"/>
          <w:kern w:val="0"/>
          <w14:ligatures w14:val="none"/>
        </w:rPr>
        <w:pict w14:anchorId="1FB5EDFB">
          <v:rect id="_x0000_i1027" style="width:0;height:1.5pt" o:hralign="center" o:hrstd="t" o:hr="t" fillcolor="#a0a0a0" stroked="f"/>
        </w:pict>
      </w:r>
    </w:p>
    <w:p w14:paraId="6544588C"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lastRenderedPageBreak/>
        <w:t>Business Impact</w:t>
      </w:r>
    </w:p>
    <w:p w14:paraId="0A05D578"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For BNPL providers, debt layering introduces a significant challenge to underwriting accuracy. Without full visibility into a consumer’s existing obligations, risk models may underestimate exposure, leading to higher delinquency rates.</w:t>
      </w:r>
    </w:p>
    <w:p w14:paraId="1CDB1192"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Merchants may also feel indirect effects. If providers tighten approval criteria or reduce spending limits in response to risk concerns, conversion rates and average order values could be impacted.</w:t>
      </w:r>
    </w:p>
    <w:p w14:paraId="1B3DD1A1"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In response, providers are investing in more sophisticated risk assessment tools and exploring data-sharing partnerships to improve visibility into consumer behavior.</w:t>
      </w:r>
    </w:p>
    <w:p w14:paraId="2D9FBAD2" w14:textId="77777777" w:rsidR="00A769E1" w:rsidRPr="00A769E1" w:rsidRDefault="00A769E1" w:rsidP="00A769E1">
      <w:pPr>
        <w:spacing w:after="0" w:line="240" w:lineRule="auto"/>
        <w:rPr>
          <w:rFonts w:ascii="Times New Roman" w:eastAsia="Times New Roman" w:hAnsi="Times New Roman" w:cs="Times New Roman"/>
          <w:kern w:val="0"/>
          <w14:ligatures w14:val="none"/>
        </w:rPr>
      </w:pPr>
      <w:r w:rsidRPr="00A769E1">
        <w:rPr>
          <w:rFonts w:ascii="Times New Roman" w:eastAsia="Times New Roman" w:hAnsi="Times New Roman" w:cs="Times New Roman"/>
          <w:kern w:val="0"/>
          <w14:ligatures w14:val="none"/>
        </w:rPr>
        <w:pict w14:anchorId="217773ED">
          <v:rect id="_x0000_i1028" style="width:0;height:1.5pt" o:hralign="center" o:hrstd="t" o:hr="t" fillcolor="#a0a0a0" stroked="f"/>
        </w:pict>
      </w:r>
    </w:p>
    <w:p w14:paraId="63CEE001"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Payment Structure Insight</w:t>
      </w:r>
    </w:p>
    <w:p w14:paraId="12747EC7"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BNPL transactions are typically processed outside traditional revolving credit systems, which limits real-time visibility into a consumer’s full financial position. This structural separation has been a key factor enabling rapid adoption, but it also introduces risk.</w:t>
      </w:r>
    </w:p>
    <w:p w14:paraId="1A3047CD"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Efforts are underway to integrate BNPL activity into broader financial data ecosystems. This includes potential reporting to credit bureaus, as well as the development of shared data frameworks among providers. Such changes could fundamentally alter how BNPL is evaluated within the overall credit landscape.</w:t>
      </w:r>
    </w:p>
    <w:p w14:paraId="493F3D18"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pict w14:anchorId="18C38A82">
          <v:rect id="_x0000_i1033" alt="" style="width:468pt;height:.05pt;mso-width-percent:0;mso-height-percent:0;mso-width-percent:0;mso-height-percent:0" o:hralign="center" o:hrstd="t" o:hr="t" fillcolor="#a0a0a0" stroked="f"/>
        </w:pict>
      </w:r>
    </w:p>
    <w:p w14:paraId="1A178F59"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Industry Expansion / Use Cases</w:t>
      </w:r>
    </w:p>
    <w:p w14:paraId="14E303B4"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As BNPL expands into categories such as healthcare, home services, and essential expenses, the implications of debt layering become more pronounced. These are often higher-value or necessity-driven purchases, increasing both the frequency and importance of financing decisions.</w:t>
      </w:r>
    </w:p>
    <w:p w14:paraId="6411D6F9"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Research suggests that in these contexts, BNPL is less about convenience and more about financial management, making visibility into obligations increasingly critical.</w:t>
      </w:r>
    </w:p>
    <w:p w14:paraId="1B70EC58"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pict w14:anchorId="4A47B8E0">
          <v:rect id="_x0000_i1032" alt="" style="width:468pt;height:.05pt;mso-width-percent:0;mso-height-percent:0;mso-width-percent:0;mso-height-percent:0" o:hralign="center" o:hrstd="t" o:hr="t" fillcolor="#a0a0a0" stroked="f"/>
        </w:pict>
      </w:r>
    </w:p>
    <w:p w14:paraId="5627B64C"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Role of Institutions</w:t>
      </w:r>
    </w:p>
    <w:p w14:paraId="4C8962A4"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Financial institutions and regulators are beginning to respond to the challenges posed by debt layering. Banks entering the BNPL space are bringing more structured risk frameworks, while regulators are evaluating disclosure requirements and credit reporting standards.</w:t>
      </w:r>
    </w:p>
    <w:p w14:paraId="4D9A1009"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Analysts note that greater institutional involvement could lead to more consistent oversight, particularly in areas such as affordability assessments and consumer transparency.</w:t>
      </w:r>
    </w:p>
    <w:p w14:paraId="2A65F6AC"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lastRenderedPageBreak/>
        <w:pict w14:anchorId="2FDBACFA">
          <v:rect id="_x0000_i1031" alt="" style="width:468pt;height:.05pt;mso-width-percent:0;mso-height-percent:0;mso-width-percent:0;mso-height-percent:0" o:hralign="center" o:hrstd="t" o:hr="t" fillcolor="#a0a0a0" stroked="f"/>
        </w:pict>
      </w:r>
    </w:p>
    <w:p w14:paraId="24B4F050"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Outlook (2–3 Year View)</w:t>
      </w:r>
    </w:p>
    <w:p w14:paraId="4C740002"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Over the next several years, the BNPL market is likely to move toward greater transparency and integration with traditional credit systems. Data sharing, standardized reporting, and enhanced underwriting models are expected to become more common.</w:t>
      </w:r>
    </w:p>
    <w:p w14:paraId="1931297E"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At the same time, providers that can balance accessibility with responsible lending practices may be better positioned to sustain growth in a more regulated environment.</w:t>
      </w:r>
    </w:p>
    <w:p w14:paraId="0E11754F"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pict w14:anchorId="5F25794F">
          <v:rect id="_x0000_i1030" alt="" style="width:468pt;height:.05pt;mso-width-percent:0;mso-height-percent:0;mso-width-percent:0;mso-height-percent:0" o:hralign="center" o:hrstd="t" o:hr="t" fillcolor="#a0a0a0" stroked="f"/>
        </w:pict>
      </w:r>
    </w:p>
    <w:p w14:paraId="4ECE0375"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Key Takeaway</w:t>
      </w:r>
    </w:p>
    <w:p w14:paraId="50677C57"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Debt layering is emerging as a defining challenge for BNPL, reshaping how risk is measured, managed, and regulated across the consumer financing ecosystem.</w:t>
      </w:r>
    </w:p>
    <w:p w14:paraId="2D19F178" w14:textId="77777777" w:rsidR="00A769E1" w:rsidRPr="00A769E1" w:rsidRDefault="00023225" w:rsidP="00A769E1">
      <w:pPr>
        <w:spacing w:after="0" w:line="240" w:lineRule="auto"/>
        <w:rPr>
          <w:rFonts w:ascii="Times New Roman" w:eastAsia="Times New Roman" w:hAnsi="Times New Roman" w:cs="Times New Roman"/>
          <w:kern w:val="0"/>
          <w14:ligatures w14:val="none"/>
        </w:rPr>
      </w:pPr>
      <w:r w:rsidRPr="00023225">
        <w:rPr>
          <w:rFonts w:ascii="Times New Roman" w:eastAsia="Times New Roman" w:hAnsi="Times New Roman" w:cs="Times New Roman"/>
          <w:noProof/>
          <w:kern w:val="0"/>
        </w:rPr>
        <w:pict w14:anchorId="7DED9DE0">
          <v:rect id="_x0000_i1029" alt="" style="width:468pt;height:.05pt;mso-width-percent:0;mso-height-percent:0;mso-width-percent:0;mso-height-percent:0" o:hralign="center" o:hrstd="t" o:hr="t" fillcolor="#a0a0a0" stroked="f"/>
        </w:pict>
      </w:r>
    </w:p>
    <w:p w14:paraId="57515698" w14:textId="77777777" w:rsidR="00A769E1" w:rsidRPr="00A769E1" w:rsidRDefault="00A769E1" w:rsidP="00A769E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769E1">
        <w:rPr>
          <w:rFonts w:ascii="Times New Roman" w:eastAsia="Times New Roman" w:hAnsi="Times New Roman" w:cs="Times New Roman"/>
          <w:b/>
          <w:bCs/>
          <w:color w:val="000000"/>
          <w:kern w:val="0"/>
          <w:sz w:val="27"/>
          <w:szCs w:val="27"/>
          <w14:ligatures w14:val="none"/>
        </w:rPr>
        <w:t>Sources</w:t>
      </w:r>
    </w:p>
    <w:p w14:paraId="6673E26D" w14:textId="77777777" w:rsidR="00A769E1" w:rsidRPr="00A769E1" w:rsidRDefault="00A769E1" w:rsidP="00A769E1">
      <w:pPr>
        <w:spacing w:before="100" w:beforeAutospacing="1" w:after="100" w:afterAutospacing="1" w:line="240" w:lineRule="auto"/>
        <w:rPr>
          <w:rFonts w:ascii="Times New Roman" w:eastAsia="Times New Roman" w:hAnsi="Times New Roman" w:cs="Times New Roman"/>
          <w:color w:val="000000"/>
          <w:kern w:val="0"/>
          <w14:ligatures w14:val="none"/>
        </w:rPr>
      </w:pPr>
      <w:r w:rsidRPr="00A769E1">
        <w:rPr>
          <w:rFonts w:ascii="Times New Roman" w:eastAsia="Times New Roman" w:hAnsi="Times New Roman" w:cs="Times New Roman"/>
          <w:color w:val="000000"/>
          <w:kern w:val="0"/>
          <w14:ligatures w14:val="none"/>
        </w:rPr>
        <w:t>Deloitte</w:t>
      </w:r>
      <w:r w:rsidRPr="00A769E1">
        <w:rPr>
          <w:rFonts w:ascii="Times New Roman" w:eastAsia="Times New Roman" w:hAnsi="Times New Roman" w:cs="Times New Roman"/>
          <w:color w:val="000000"/>
          <w:kern w:val="0"/>
          <w14:ligatures w14:val="none"/>
        </w:rPr>
        <w:br/>
        <w:t>McKinsey &amp; Company</w:t>
      </w:r>
      <w:r w:rsidRPr="00A769E1">
        <w:rPr>
          <w:rFonts w:ascii="Times New Roman" w:eastAsia="Times New Roman" w:hAnsi="Times New Roman" w:cs="Times New Roman"/>
          <w:color w:val="000000"/>
          <w:kern w:val="0"/>
          <w14:ligatures w14:val="none"/>
        </w:rPr>
        <w:br/>
        <w:t>Statista</w:t>
      </w:r>
      <w:r w:rsidRPr="00A769E1">
        <w:rPr>
          <w:rFonts w:ascii="Times New Roman" w:eastAsia="Times New Roman" w:hAnsi="Times New Roman" w:cs="Times New Roman"/>
          <w:color w:val="000000"/>
          <w:kern w:val="0"/>
          <w14:ligatures w14:val="none"/>
        </w:rPr>
        <w:br/>
        <w:t>Visa</w:t>
      </w:r>
      <w:r w:rsidRPr="00A769E1">
        <w:rPr>
          <w:rFonts w:ascii="Times New Roman" w:eastAsia="Times New Roman" w:hAnsi="Times New Roman" w:cs="Times New Roman"/>
          <w:color w:val="000000"/>
          <w:kern w:val="0"/>
          <w14:ligatures w14:val="none"/>
        </w:rPr>
        <w:br/>
        <w:t>Mastercard</w:t>
      </w:r>
    </w:p>
    <w:p w14:paraId="162E9987" w14:textId="77777777" w:rsidR="00A769E1" w:rsidRDefault="00A769E1"/>
    <w:sectPr w:rsidR="00A7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E1"/>
    <w:rsid w:val="00023225"/>
    <w:rsid w:val="003213BB"/>
    <w:rsid w:val="00A7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E034"/>
  <w15:chartTrackingRefBased/>
  <w15:docId w15:val="{A543E82F-1C32-5643-B4D1-3716BF08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9E1"/>
    <w:rPr>
      <w:rFonts w:eastAsiaTheme="majorEastAsia" w:cstheme="majorBidi"/>
      <w:color w:val="272727" w:themeColor="text1" w:themeTint="D8"/>
    </w:rPr>
  </w:style>
  <w:style w:type="paragraph" w:styleId="Title">
    <w:name w:val="Title"/>
    <w:basedOn w:val="Normal"/>
    <w:next w:val="Normal"/>
    <w:link w:val="TitleChar"/>
    <w:uiPriority w:val="10"/>
    <w:qFormat/>
    <w:rsid w:val="00A76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9E1"/>
    <w:pPr>
      <w:spacing w:before="160"/>
      <w:jc w:val="center"/>
    </w:pPr>
    <w:rPr>
      <w:i/>
      <w:iCs/>
      <w:color w:val="404040" w:themeColor="text1" w:themeTint="BF"/>
    </w:rPr>
  </w:style>
  <w:style w:type="character" w:customStyle="1" w:styleId="QuoteChar">
    <w:name w:val="Quote Char"/>
    <w:basedOn w:val="DefaultParagraphFont"/>
    <w:link w:val="Quote"/>
    <w:uiPriority w:val="29"/>
    <w:rsid w:val="00A769E1"/>
    <w:rPr>
      <w:i/>
      <w:iCs/>
      <w:color w:val="404040" w:themeColor="text1" w:themeTint="BF"/>
    </w:rPr>
  </w:style>
  <w:style w:type="paragraph" w:styleId="ListParagraph">
    <w:name w:val="List Paragraph"/>
    <w:basedOn w:val="Normal"/>
    <w:uiPriority w:val="34"/>
    <w:qFormat/>
    <w:rsid w:val="00A769E1"/>
    <w:pPr>
      <w:ind w:left="720"/>
      <w:contextualSpacing/>
    </w:pPr>
  </w:style>
  <w:style w:type="character" w:styleId="IntenseEmphasis">
    <w:name w:val="Intense Emphasis"/>
    <w:basedOn w:val="DefaultParagraphFont"/>
    <w:uiPriority w:val="21"/>
    <w:qFormat/>
    <w:rsid w:val="00A769E1"/>
    <w:rPr>
      <w:i/>
      <w:iCs/>
      <w:color w:val="0F4761" w:themeColor="accent1" w:themeShade="BF"/>
    </w:rPr>
  </w:style>
  <w:style w:type="paragraph" w:styleId="IntenseQuote">
    <w:name w:val="Intense Quote"/>
    <w:basedOn w:val="Normal"/>
    <w:next w:val="Normal"/>
    <w:link w:val="IntenseQuoteChar"/>
    <w:uiPriority w:val="30"/>
    <w:qFormat/>
    <w:rsid w:val="00A76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9E1"/>
    <w:rPr>
      <w:i/>
      <w:iCs/>
      <w:color w:val="0F4761" w:themeColor="accent1" w:themeShade="BF"/>
    </w:rPr>
  </w:style>
  <w:style w:type="character" w:styleId="IntenseReference">
    <w:name w:val="Intense Reference"/>
    <w:basedOn w:val="DefaultParagraphFont"/>
    <w:uiPriority w:val="32"/>
    <w:qFormat/>
    <w:rsid w:val="00A769E1"/>
    <w:rPr>
      <w:b/>
      <w:bCs/>
      <w:smallCaps/>
      <w:color w:val="0F4761" w:themeColor="accent1" w:themeShade="BF"/>
      <w:spacing w:val="5"/>
    </w:rPr>
  </w:style>
  <w:style w:type="paragraph" w:styleId="NormalWeb">
    <w:name w:val="Normal (Web)"/>
    <w:basedOn w:val="Normal"/>
    <w:uiPriority w:val="99"/>
    <w:semiHidden/>
    <w:unhideWhenUsed/>
    <w:rsid w:val="00A769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69E1"/>
    <w:rPr>
      <w:b/>
      <w:bCs/>
    </w:rPr>
  </w:style>
  <w:style w:type="character" w:styleId="Emphasis">
    <w:name w:val="Emphasis"/>
    <w:basedOn w:val="DefaultParagraphFont"/>
    <w:uiPriority w:val="20"/>
    <w:qFormat/>
    <w:rsid w:val="00A76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4283</Characters>
  <Application>Microsoft Office Word</Application>
  <DocSecurity>0</DocSecurity>
  <Lines>82</Lines>
  <Paragraphs>36</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Brown</dc:creator>
  <cp:keywords/>
  <dc:description/>
  <cp:lastModifiedBy>George Brown</cp:lastModifiedBy>
  <cp:revision>1</cp:revision>
  <dcterms:created xsi:type="dcterms:W3CDTF">2026-04-30T18:06:00Z</dcterms:created>
  <dcterms:modified xsi:type="dcterms:W3CDTF">2026-04-30T18:06:00Z</dcterms:modified>
</cp:coreProperties>
</file>